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0"/>
        <w:gridCol w:w="2570"/>
        <w:gridCol w:w="10"/>
        <w:gridCol w:w="1590"/>
        <w:gridCol w:w="1780"/>
        <w:gridCol w:w="2800"/>
        <w:gridCol w:w="2620"/>
      </w:tblGrid>
      <w:tr w:rsidR="000B3D2F" w:rsidRPr="000B3D2F"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00"/>
              <w:gridCol w:w="3040"/>
              <w:gridCol w:w="1600"/>
              <w:gridCol w:w="1780"/>
            </w:tblGrid>
            <w:tr w:rsidR="000B3D2F" w:rsidRPr="000B3D2F">
              <w:tc>
                <w:tcPr>
                  <w:tcW w:w="7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B3D2F" w:rsidRPr="000B3D2F">
              <w:tc>
                <w:tcPr>
                  <w:tcW w:w="7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Załącznik nr 3 do Uchwały Rady Gminy Skarbimierz                Nr XXV/170/2013  z dnia 18 marca 2013r.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1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3D2F">
              <w:rPr>
                <w:b/>
                <w:bCs/>
                <w:color w:val="000000"/>
                <w:sz w:val="28"/>
                <w:szCs w:val="28"/>
              </w:rPr>
              <w:t>Objaśnienia przyjętych wartości do Wieloletniej Prognozy Finansowej Gminy Skarbimierz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Wskaźniki makroekonomiczne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2015 - 2020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2021 - 2027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D2F">
              <w:rPr>
                <w:rFonts w:ascii="Arial" w:hAnsi="Arial" w:cs="Arial"/>
                <w:color w:val="000000"/>
                <w:sz w:val="18"/>
                <w:szCs w:val="18"/>
              </w:rPr>
              <w:t>wzrost PKB w ujęciu realnym w %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D2F">
              <w:rPr>
                <w:rFonts w:ascii="Arial" w:hAnsi="Arial" w:cs="Arial"/>
                <w:color w:val="000000"/>
                <w:sz w:val="18"/>
                <w:szCs w:val="18"/>
              </w:rPr>
              <w:t>średnioroczny wzrost cen towarów i usług konsumpcyjnych ogółem w %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color w:val="000000"/>
                <w:sz w:val="20"/>
                <w:szCs w:val="20"/>
              </w:rPr>
              <w:t>102,3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Wzrost dochodów bieżących założono zgodnie z prognozą makroekonomiczną (dane Ministra Finansów, GUS: 2014-104,0  2015 do 2020-103,4 2021 do 2027-103,0 Jako rok bazowy przyjęto rok 2013 oraz kwota długu na koniec roku 2012. Dane dla roku 2013 przyjęto takie jak w uchwale w sprawie uchwalenia budżetu oraz uwzględniono zmiany jak w projekcie zmiany budżetu na dzień 18 marca 2013r.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dochody majątkowe</w:t>
            </w:r>
          </w:p>
        </w:tc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Dochody majątkowe na rok 2013 stanowią dochody ze sprzedaży ratalnej majątku oraz na podstawie zawartych umów przedwstępnych i rozmów prowadzonych z inwestorami. Na lata 2014 - 2018 przyjęto dochody z tytułu sprzedaży działek na cele inwestycyjne na podstawie danych uzyskanych z referatu inwestycyjnego.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 xml:space="preserve">Wydatki bieżące 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800"/>
            </w:tblGrid>
            <w:tr w:rsidR="000B3D2F" w:rsidRPr="000B3D2F">
              <w:tc>
                <w:tcPr>
                  <w:tcW w:w="88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Wzrost wydatków bieżących założono zgodnie z prognozą makroekonomiczną (dane Ministra Finansów: lata 2014-2020 - 102,5%, lata 2021-2027 - 102,3%). Jako rok bazowy przyjęto rok 2013. Dane dla roku 2013 przyjęto jak w uchwale w sprawie uchwalenia budżetu oraz  uwzględniono zmiany jak w projekcie  budżetu na dzień 18 marca 2013r.  Wydatki bieżące sanowią: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1. wydatki z tytułu poręczeń i gwarancji,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2. wydatki na obsługę długu,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right w:val="single" w:sz="8" w:space="0" w:color="auto"/>
                  </w:tcBorders>
                  <w:vAlign w:val="center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color w:val="000000"/>
                      <w:sz w:val="20"/>
                      <w:szCs w:val="20"/>
                    </w:rPr>
                    <w:t>3.przedsięwzięcia z art. 226 ust.4 ustawy o finansach publicznych, w tym na przedsięwzięcia (projekty, programy i zadania wieloletnie).</w:t>
                  </w:r>
                </w:p>
              </w:tc>
            </w:tr>
            <w:tr w:rsidR="000B3D2F" w:rsidRPr="000B3D2F">
              <w:tc>
                <w:tcPr>
                  <w:tcW w:w="8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 xml:space="preserve">Wynik budżetu po wykonaniu wydatków bieżących 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Dochody (bieżące i majątkowe) skorygowane o wydatki bieżące.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Nadwyżka budżetowa z lat ubiegłych plus wolne środki, zgodnie z art. 217 ustawy o finansach publicznych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Na rok 2013 zaplanowano wolne środki z roku 2012 w kwocie 489 636 zł.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Inne przychody niezwiązane z zaciągnięciem długu, w tym: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Innych przychodów nie związanych z zaciągnięciem długu gmina nie posiadała i też nie zaplanowała.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Środki do dyspozycji na spłatę i obsługę długu oraz wydatki majątkowe (III + IV + V)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oszacowaniu dochodów ogółem, oraz wydatków bieżących , po uwzględnieniu wolnych środków z lat ubiegłych otrzymano środki do dyspozycji na obsługę długu i wydatki majątkowe.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Spłata i obsługa długu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Spłatę i obsługę długu (w podziale na rozchody tytułu spłaty oraz wydatki bieżące) zaplanowano na podstawie harmonogramów spłat zaciągniętych kredytów, pożyczek, wykup papierów wartościowych. Spłata długu obejmuje lata 2013 - 2027. Obsługa długu obejmuje lata 2013 -2022.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Inne rozchody (bez spłaty długu), w tym: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Nie zaplanowano innych rozchodów nie związanych ze spłatą długu.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Środki do dyzpozycji na wydatki majątkowe (VI - VII -VIII)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rozdysponowaniu środków na spłatę i obsługę długu otrzymano pulę środków na wydatki majątkowe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Po rozdysponowaniu środków na spłatę i obsługę długu otrzymano pulę środków na wydatki majątkowe i w tej wysokości zostały zaplanowane w latach następnych.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Przychody (kredyty, pożyczki, emisje papierów wartościowych)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Zaplanowano przychody na pokrycie deficytu na rok 2013 w wysokości 2 500 0000 zł w formie kredytu bankowego.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b/>
                <w:bCs/>
                <w:color w:val="000000"/>
                <w:sz w:val="20"/>
                <w:szCs w:val="20"/>
              </w:rPr>
              <w:t>Wynik finansowy budżetu (IX-X+XI)</w:t>
            </w:r>
          </w:p>
        </w:tc>
        <w:tc>
          <w:tcPr>
            <w:tcW w:w="8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 xml:space="preserve">Zgodnie z Metodyką Ministra Finansów - jest to pomocnicza kategoria zaproponowana w WPF, pozwalająca ocenić, czy Gmina w każdym roku budżetowym posiada w budżecie środki finansowe, </w:t>
            </w:r>
            <w:r w:rsidRPr="000B3D2F">
              <w:rPr>
                <w:color w:val="000000"/>
                <w:sz w:val="20"/>
                <w:szCs w:val="20"/>
              </w:rPr>
              <w:lastRenderedPageBreak/>
              <w:t>pochodzące z dochodów i przychodów, pozwalające na realizację wydatków i rozchodów.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3D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XIII.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40"/>
            </w:tblGrid>
            <w:tr w:rsidR="000B3D2F" w:rsidRPr="000B3D2F">
              <w:tc>
                <w:tcPr>
                  <w:tcW w:w="3040" w:type="dxa"/>
                  <w:tcBorders>
                    <w:top w:val="single" w:sz="8" w:space="0" w:color="auto"/>
                    <w:right w:val="single" w:sz="4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KWOTA DŁUGU, WSKAŹNIKI</w:t>
                  </w:r>
                </w:p>
              </w:tc>
            </w:tr>
            <w:tr w:rsidR="000B3D2F" w:rsidRPr="000B3D2F">
              <w:tc>
                <w:tcPr>
                  <w:tcW w:w="3040" w:type="dxa"/>
                  <w:tcBorders>
                    <w:right w:val="single" w:sz="4" w:space="0" w:color="auto"/>
                  </w:tcBorders>
                </w:tcPr>
                <w:p w:rsidR="000B3D2F" w:rsidRPr="000B3D2F" w:rsidRDefault="000B3D2F" w:rsidP="000B3D2F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3D2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B3D2F" w:rsidRPr="000B3D2F" w:rsidRDefault="000B3D2F" w:rsidP="000B3D2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Kwota długu, sposób jego sfinansowania i relacja o której mowa w art. 243 ustawy o finansach publicznych. Kwota wykazana jako dług na koniec każdego roku jest wynikiem działania: dług z poprzedniego roku + zaciągany dług - spłata długu.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Sposób finansowania długu - przyjmuje się, że dług (jego spłata) jest finansowana w pierwszej kolejności z nadwyżki budżetowej, wolnych środków oraz nadwyżki z lat poprzednich. W następnej kolejności dług finansuje się nowo zaciąganym długiem.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D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B3D2F">
              <w:rPr>
                <w:color w:val="000000"/>
                <w:sz w:val="20"/>
                <w:szCs w:val="20"/>
              </w:rPr>
              <w:t>Zgodnie z art. 121 ust. 8 ustawy z dnia 27 sierpnia 2009 r.   Przepisy wprowadzające ustawę o finansach publicznych (Dz. U. Nr 157, póz. 1241) na lata 2011-2013 objęte wieloletnią prognozą finansową zamiast zasad, o których mowa w przepisach art. 226 ust. 1 pkt. 6 i art. 230 ust. 5 ustawy, o której mowa w art. 1, mają zastosowanie zasady określone w art. 169-171 ustawy, o której mowa w art. 85.- tj progi 15 % i 60 %. Wskaźniki wyliczone w Wieloletniej Prognozie Finansowej Gminy Skarbimierz zachowują zgodność zarówno z art.169 i art.170 ustawy o finansach publicznych z 2005 roku jak i z art. 243 nowej ustawy o finansach publicznych</w:t>
            </w: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3D2F" w:rsidRPr="000B3D2F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2F" w:rsidRPr="000B3D2F" w:rsidRDefault="000B3D2F" w:rsidP="000B3D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B3D2F" w:rsidRPr="000B3D2F" w:rsidRDefault="000B3D2F" w:rsidP="000B3D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F420B1" w:rsidRDefault="00F420B1"/>
    <w:sectPr w:rsidR="00F420B1" w:rsidSect="006F3196">
      <w:pgSz w:w="158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defaultTabStop w:val="708"/>
  <w:hyphenationZone w:val="425"/>
  <w:characterSpacingControl w:val="doNotCompress"/>
  <w:compat/>
  <w:rsids>
    <w:rsidRoot w:val="000B3D2F"/>
    <w:rsid w:val="000B3D2F"/>
    <w:rsid w:val="004408C5"/>
    <w:rsid w:val="00825953"/>
    <w:rsid w:val="00D7740C"/>
    <w:rsid w:val="00F4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4219</Characters>
  <Application>Microsoft Office Word</Application>
  <DocSecurity>0</DocSecurity>
  <Lines>35</Lines>
  <Paragraphs>9</Paragraphs>
  <ScaleCrop>false</ScaleCrop>
  <Company>UG Skarbimierz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2</cp:revision>
  <dcterms:created xsi:type="dcterms:W3CDTF">2013-03-22T08:44:00Z</dcterms:created>
  <dcterms:modified xsi:type="dcterms:W3CDTF">2013-03-22T08:44:00Z</dcterms:modified>
</cp:coreProperties>
</file>